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предоставлении в 2023 году субсидий юридическим лицам и (или) индивидуальным предпринимателям, осуществляющих деятельность в сфере туризма на территории Вологодской области</w:t>
      </w:r>
    </w:p>
    <w:p w14:paraId="0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запланировано предоставление следующих субсидий:</w:t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1.) на </w:t>
      </w:r>
      <w:r>
        <w:rPr>
          <w:rFonts w:ascii="Times New Roman" w:hAnsi="Times New Roman"/>
          <w:b w:val="1"/>
          <w:sz w:val="28"/>
        </w:rPr>
        <w:t>возмещение части затрат на строительство (реконструкцию) обеспечивающей инфраструктуры к объектам туристской индустрии.</w:t>
      </w:r>
    </w:p>
    <w:p w14:paraId="0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области от 25 июля 2022 года №946.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предложений (заявок) для отбора получателей субсидии – сентябрь 2023 года.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предоставляются субъектам деятельности в сфере</w:t>
      </w:r>
      <w:r>
        <w:rPr>
          <w:rFonts w:ascii="Times New Roman" w:hAnsi="Times New Roman"/>
          <w:sz w:val="28"/>
        </w:rPr>
        <w:t xml:space="preserve"> туризма - юридическим лицам (за исключением некоммерческих организаций, в том числе государственных (муниципальных) учреждений) и (или) индивидуальным предпринимателям, осуществляющим деятельность по одному или нескольким видам экономической деятельности,</w:t>
      </w:r>
      <w:r>
        <w:rPr>
          <w:rFonts w:ascii="Times New Roman" w:hAnsi="Times New Roman"/>
          <w:sz w:val="28"/>
        </w:rPr>
        <w:t xml:space="preserve"> поставленным на учет в налоговых органах на территории Российской Федерации и осуществляющим деятельность на территории Вологодской области.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экономической деятельности (ОКВЭД): 55.1 - 55.3 /55.9 /79.1/ 79.9 /93.11/93.19/93.21/ 93.29/ 86.90.4.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 xml:space="preserve">и предоставляются на возмещение затрат на строительство (реконструкцию) объектов транспортной инфраструктуры и коммунальной инфраструктуры - </w:t>
      </w:r>
      <w:r>
        <w:rPr>
          <w:rFonts w:ascii="Times New Roman" w:hAnsi="Times New Roman"/>
          <w:sz w:val="28"/>
        </w:rPr>
        <w:t>водо</w:t>
      </w:r>
      <w:r>
        <w:rPr>
          <w:rFonts w:ascii="Times New Roman" w:hAnsi="Times New Roman"/>
          <w:sz w:val="28"/>
        </w:rPr>
        <w:t>-, тепл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газо</w:t>
      </w:r>
      <w:r>
        <w:rPr>
          <w:rFonts w:ascii="Times New Roman" w:hAnsi="Times New Roman"/>
          <w:sz w:val="28"/>
        </w:rPr>
        <w:t>- и энергоснабжения, водоотведения, канализации к объектам туристской индустрии, расположенным н</w:t>
      </w:r>
      <w:r>
        <w:rPr>
          <w:rFonts w:ascii="Times New Roman" w:hAnsi="Times New Roman"/>
          <w:sz w:val="28"/>
        </w:rPr>
        <w:t>а территории Вологодской области (гостиницам и иным средствам размещения, объектам санаторно-курортного лечения и отдыха, объектам и средствам развлечения, объектам познавательного, делового, лечебно-оздоровительного, физкультурно-спортивного и иного назна</w:t>
      </w:r>
      <w:r>
        <w:rPr>
          <w:rFonts w:ascii="Times New Roman" w:hAnsi="Times New Roman"/>
          <w:sz w:val="28"/>
        </w:rPr>
        <w:t>чения).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Документы: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субсидии</w:t>
      </w:r>
      <w:r>
        <w:rPr>
          <w:rFonts w:ascii="Times New Roman" w:hAnsi="Times New Roman"/>
          <w:sz w:val="28"/>
        </w:rPr>
        <w:t xml:space="preserve"> (форма прилагается)</w:t>
      </w:r>
      <w:r>
        <w:rPr>
          <w:rFonts w:ascii="Times New Roman" w:hAnsi="Times New Roman"/>
          <w:sz w:val="28"/>
        </w:rPr>
        <w:t>;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</w:t>
      </w:r>
      <w:r>
        <w:rPr>
          <w:rFonts w:ascii="Times New Roman" w:hAnsi="Times New Roman"/>
          <w:sz w:val="28"/>
        </w:rPr>
        <w:t xml:space="preserve"> от участника отбора с указанием следующих сведений: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выбор формы федерального статистического наблюдения, по которой планируется представлять отчет о достижении значения результата предоставления субсидии и его характеристики</w:t>
      </w:r>
      <w:r>
        <w:rPr>
          <w:rFonts w:ascii="Times New Roman" w:hAnsi="Times New Roman"/>
          <w:sz w:val="28"/>
        </w:rPr>
        <w:t>;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электронный адрес участника отбора;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Единого государственного реестра юридических лиц (выписку из единого государственного реестра индивидуальных предпринимателей) на дату периода приема заявки;</w:t>
      </w:r>
      <w:bookmarkStart w:id="1" w:name="Par99"/>
      <w:bookmarkEnd w:id="1"/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документ (копи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документа), подтверждающий полномочия представителя участника отбора (в случае представления документов представителем участника отбора);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справка территориального органа Федераль</w:t>
      </w:r>
      <w:r>
        <w:rPr>
          <w:rFonts w:ascii="Times New Roman" w:hAnsi="Times New Roman"/>
          <w:sz w:val="28"/>
        </w:rPr>
        <w:t>ной налоговой службы, подписанная</w:t>
      </w:r>
      <w:r>
        <w:rPr>
          <w:rFonts w:ascii="Times New Roman" w:hAnsi="Times New Roman"/>
          <w:sz w:val="28"/>
        </w:rPr>
        <w:t xml:space="preserve"> ее руководителем (иным уполномоченным лицом) по состоянию на дату период</w:t>
      </w:r>
      <w:r>
        <w:rPr>
          <w:rFonts w:ascii="Times New Roman" w:hAnsi="Times New Roman"/>
          <w:sz w:val="28"/>
        </w:rPr>
        <w:t>а приема заявки и подтверждающая</w:t>
      </w:r>
      <w:r>
        <w:rPr>
          <w:rFonts w:ascii="Times New Roman" w:hAnsi="Times New Roman"/>
          <w:sz w:val="28"/>
        </w:rPr>
        <w:t xml:space="preserve"> отсутствие у участника </w:t>
      </w:r>
      <w:r>
        <w:rPr>
          <w:rFonts w:ascii="Times New Roman" w:hAnsi="Times New Roman"/>
          <w:sz w:val="28"/>
        </w:rPr>
        <w:t xml:space="preserve">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>
        <w:rPr>
          <w:rFonts w:ascii="Times New Roman" w:hAnsi="Times New Roman"/>
          <w:sz w:val="28"/>
        </w:rPr>
        <w:t xml:space="preserve">(форма </w:t>
      </w:r>
      <w:r>
        <w:rPr>
          <w:rFonts w:ascii="Times New Roman" w:hAnsi="Times New Roman"/>
          <w:color w:val="000000"/>
          <w:sz w:val="28"/>
        </w:rPr>
        <w:t>КНД 1120101)</w:t>
      </w:r>
      <w:r>
        <w:rPr>
          <w:rFonts w:ascii="Times New Roman" w:hAnsi="Times New Roman"/>
          <w:sz w:val="28"/>
        </w:rPr>
        <w:t>;</w:t>
      </w:r>
      <w:bookmarkStart w:id="2" w:name="Par102"/>
      <w:bookmarkEnd w:id="2"/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справк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подтверждающая</w:t>
      </w:r>
      <w:r>
        <w:rPr>
          <w:rFonts w:ascii="Times New Roman" w:hAnsi="Times New Roman"/>
          <w:sz w:val="28"/>
        </w:rPr>
        <w:t xml:space="preserve"> отсутствие у участника отбора на дату периода отбора просроченной задолженности по возврату в областной бюджет субсидий, бюджетных инвестиций, </w:t>
      </w:r>
      <w:r>
        <w:rPr>
          <w:rFonts w:ascii="Times New Roman" w:hAnsi="Times New Roman"/>
          <w:sz w:val="28"/>
        </w:rPr>
        <w:t>предоставленных</w:t>
      </w:r>
      <w:r>
        <w:rPr>
          <w:rFonts w:ascii="Times New Roman" w:hAnsi="Times New Roman"/>
          <w:sz w:val="28"/>
        </w:rPr>
        <w:t xml:space="preserve"> в том числе в соответствии с иными правовыми актами, а также иной просроченной задолженности перед областным бюджетом;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выписк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из Единого государственного реес</w:t>
      </w:r>
      <w:r>
        <w:rPr>
          <w:rFonts w:ascii="Times New Roman" w:hAnsi="Times New Roman"/>
          <w:sz w:val="28"/>
        </w:rPr>
        <w:t>тра недвижимости, подтверждающая</w:t>
      </w:r>
      <w:r>
        <w:rPr>
          <w:rFonts w:ascii="Times New Roman" w:hAnsi="Times New Roman"/>
          <w:sz w:val="28"/>
        </w:rPr>
        <w:t xml:space="preserve"> право собственности или право аренды участника отбора на объект туристской индустрии;</w:t>
      </w:r>
      <w:bookmarkStart w:id="3" w:name="Par104"/>
      <w:bookmarkEnd w:id="3"/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копии документов, подтверждающих фа</w:t>
      </w:r>
      <w:r>
        <w:rPr>
          <w:rFonts w:ascii="Times New Roman" w:hAnsi="Times New Roman"/>
          <w:sz w:val="28"/>
        </w:rPr>
        <w:t>кт стр</w:t>
      </w:r>
      <w:r>
        <w:rPr>
          <w:rFonts w:ascii="Times New Roman" w:hAnsi="Times New Roman"/>
          <w:sz w:val="28"/>
        </w:rPr>
        <w:t>оительства (реконструкции) объектов обеспечивающей инфраструктуры к объектам туристской индустрии и их оплату участником отбора, в том числе: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договоров, контрактов на выполнение работ, приобретение материалов, приобретение и монтаж оборудования;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документов, подтверждающих получение материалов и оборудования (товарные накладные, универсальные передаточные документы, иные первичные учетные документы), счета или счета-фактуры;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справок о стоимости выполненных работ и затрат;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актов о приемке выполненных работ;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документов, подтверждающих оплату приобретенных материалов и оборудования, выполненных работ (платежные поручения, приходные ордера, иные платежные документы);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t xml:space="preserve"> на публикацию (размещение) в информационно-телекоммуникационной сети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</w:t>
      </w:r>
      <w:r>
        <w:rPr>
          <w:rFonts w:ascii="Times New Roman" w:hAnsi="Times New Roman"/>
          <w:sz w:val="28"/>
        </w:rPr>
        <w:t xml:space="preserve"> (приложение 2 к</w:t>
      </w:r>
      <w:r>
        <w:rPr>
          <w:rFonts w:ascii="Times New Roman" w:hAnsi="Times New Roman"/>
          <w:sz w:val="28"/>
        </w:rPr>
        <w:t xml:space="preserve"> Порядку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t xml:space="preserve"> участника отбора на осуществление Департаментом проверок соблюдения заявителем порядка и условий предоставления субсидии, в том числе достижения результата ее предоставления, а также проверок органами государственного финансового контроля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"https://login.consultant.ru/link/?req=doc&amp;base=LAW&amp;n=402282&amp;date=21.03.2023&amp;dst=3704&amp;field=134"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"https://login.consultant.ru/link/?req=doc&amp;base=LAW&amp;n=402282&amp;date=21.03.2023&amp;dst=3722&amp;field=134"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</w:rPr>
        <w:t xml:space="preserve"> (приложение 3 к Порядку);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опись представленных документов в двух экземплярах (по одному экземпляру для Департамента и участника отбора).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Организатор отбора:</w:t>
      </w:r>
      <w:r>
        <w:rPr>
          <w:rFonts w:ascii="Times New Roman" w:hAnsi="Times New Roman"/>
          <w:sz w:val="28"/>
        </w:rPr>
        <w:t xml:space="preserve"> Департамент экономического развития Вологодской области.</w:t>
      </w:r>
    </w:p>
    <w:p w14:paraId="1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Контактные данные: Агеева Елена Сергеевна, главный советник управления туризма Департамента экономического развития области, т. 8(8172) 23-01-96 (</w:t>
      </w:r>
      <w:r>
        <w:rPr>
          <w:rFonts w:ascii="Times New Roman" w:hAnsi="Times New Roman"/>
          <w:sz w:val="28"/>
        </w:rPr>
        <w:t>доб</w:t>
      </w:r>
      <w:r>
        <w:rPr>
          <w:rFonts w:ascii="Times New Roman" w:hAnsi="Times New Roman"/>
          <w:sz w:val="28"/>
        </w:rPr>
        <w:t>. 0772).</w:t>
      </w:r>
    </w:p>
    <w:p w14:paraId="1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</w:t>
      </w:r>
      <w:r>
        <w:rPr>
          <w:rFonts w:ascii="Times New Roman" w:hAnsi="Times New Roman"/>
          <w:sz w:val="28"/>
        </w:rPr>
        <w:t xml:space="preserve">дрес: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"mailto:ageevaes@der.gov35.ru"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ageevaes@der.gov35.ru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2.) на возмещение затрат на обустройство объектов туристской индустрии и приобретение туристского оборудования.</w:t>
      </w:r>
    </w:p>
    <w:p w14:paraId="21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области </w:t>
      </w:r>
      <w:r>
        <w:rPr>
          <w:rFonts w:ascii="Times New Roman" w:hAnsi="Times New Roman"/>
          <w:sz w:val="28"/>
        </w:rPr>
        <w:t>от 11</w:t>
      </w:r>
      <w:r>
        <w:rPr>
          <w:rFonts w:ascii="Times New Roman" w:hAnsi="Times New Roman"/>
          <w:sz w:val="28"/>
        </w:rPr>
        <w:t xml:space="preserve"> июля 2022 года №</w:t>
      </w:r>
      <w:r>
        <w:rPr>
          <w:rFonts w:ascii="Times New Roman" w:hAnsi="Times New Roman"/>
          <w:sz w:val="28"/>
        </w:rPr>
        <w:t>893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предложений (заявок) для отбора получателей субсидии – сентябрь 2</w:t>
      </w:r>
      <w:r>
        <w:rPr>
          <w:rFonts w:ascii="Times New Roman" w:hAnsi="Times New Roman"/>
          <w:sz w:val="28"/>
        </w:rPr>
        <w:t>023 года.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предоставляются субъектам деятельности в сфере туризма - юридическим лицам (за исключением некоммерческих организаций, в том числе государственных (муниципальных) учреждений) и (или) индивидуальным предпринимателям, осуществляющим деятел</w:t>
      </w:r>
      <w:r>
        <w:rPr>
          <w:rFonts w:ascii="Times New Roman" w:hAnsi="Times New Roman"/>
          <w:sz w:val="28"/>
        </w:rPr>
        <w:t xml:space="preserve">ьность по одному или нескольким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"https://login.consultant.ru/link/?req=doc&amp;base=RLAW095&amp;n=199184&amp;dst=100120&amp;field=134&amp;date=17.01.2022"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видам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экономической деятельности, поставленным на учет в налоговых органах на территории Российской Федерации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осуществляющими</w:t>
      </w:r>
      <w:r>
        <w:rPr>
          <w:rFonts w:ascii="Times New Roman" w:hAnsi="Times New Roman"/>
          <w:sz w:val="28"/>
        </w:rPr>
        <w:t xml:space="preserve"> деятельность на территории Вологодской области. 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экономической деятельности (ОКВЭД): 55.1 - 55.3 /55.9 /79.1/ 79.9 /79.90.2 /93.11/93.19/93.21/ 93.29/ 86.90.4.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предоставляются по следующим направлениям: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а) на возмещение зат</w:t>
      </w:r>
      <w:r>
        <w:rPr>
          <w:rFonts w:ascii="Times New Roman" w:hAnsi="Times New Roman"/>
          <w:sz w:val="28"/>
        </w:rPr>
        <w:t xml:space="preserve">рат, связанных с изготовлением, приобретением, доставкой, установкой элементов обустройства объектов туристской индустрии, в том числе объектов придорожного сервиса: </w:t>
      </w:r>
      <w:r>
        <w:rPr>
          <w:rFonts w:ascii="Times New Roman" w:hAnsi="Times New Roman"/>
          <w:color w:themeColor="text1" w:val="000000"/>
          <w:sz w:val="28"/>
        </w:rPr>
        <w:t xml:space="preserve">беседки, навесы, </w:t>
      </w:r>
      <w:r>
        <w:rPr>
          <w:rFonts w:ascii="Times New Roman" w:hAnsi="Times New Roman"/>
          <w:color w:themeColor="text1" w:val="000000"/>
          <w:sz w:val="28"/>
        </w:rPr>
        <w:t>мангальные</w:t>
      </w:r>
      <w:r>
        <w:rPr>
          <w:rFonts w:ascii="Times New Roman" w:hAnsi="Times New Roman"/>
          <w:color w:themeColor="text1" w:val="000000"/>
          <w:sz w:val="28"/>
        </w:rPr>
        <w:t xml:space="preserve"> комплексы, шатры, детские игровые площадки, уличное спортивное</w:t>
      </w:r>
      <w:r>
        <w:rPr>
          <w:rFonts w:ascii="Times New Roman" w:hAnsi="Times New Roman"/>
          <w:color w:themeColor="text1" w:val="000000"/>
          <w:sz w:val="28"/>
        </w:rPr>
        <w:t xml:space="preserve"> оборудование, веревочные парки, модульные туалеты, </w:t>
      </w:r>
      <w:r>
        <w:rPr>
          <w:rFonts w:ascii="Times New Roman" w:hAnsi="Times New Roman"/>
          <w:color w:themeColor="text1" w:val="000000"/>
          <w:sz w:val="28"/>
        </w:rPr>
        <w:t>велопарковки</w:t>
      </w:r>
      <w:r>
        <w:rPr>
          <w:rFonts w:ascii="Times New Roman" w:hAnsi="Times New Roman"/>
          <w:color w:themeColor="text1" w:val="000000"/>
          <w:sz w:val="28"/>
        </w:rPr>
        <w:t>, элементы системы навигации, малые архитектурные формы, освещение, тепловые конструкции, плавучие трапы, обустройство пешеходных дорожек, настилов, ограждение территории, оборудование для обе</w:t>
      </w:r>
      <w:r>
        <w:rPr>
          <w:rFonts w:ascii="Times New Roman" w:hAnsi="Times New Roman"/>
          <w:color w:themeColor="text1" w:val="000000"/>
          <w:sz w:val="28"/>
        </w:rPr>
        <w:t>спечения безопасности объектов.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б) на возмещение затрат, связанных с приобретением туристского оборудования, </w:t>
      </w:r>
      <w:r>
        <w:rPr>
          <w:rFonts w:ascii="Times New Roman" w:hAnsi="Times New Roman"/>
          <w:sz w:val="28"/>
        </w:rPr>
        <w:t xml:space="preserve">используемого для оказания услуг индивидуальными предпринимателями, организациями, относящимися к объектам туристской индустрии: палатки, спальные </w:t>
      </w:r>
      <w:r>
        <w:rPr>
          <w:rFonts w:ascii="Times New Roman" w:hAnsi="Times New Roman"/>
          <w:sz w:val="28"/>
        </w:rPr>
        <w:t>мешки, спасательные жилеты, каски, катамараны</w:t>
      </w:r>
      <w:r>
        <w:rPr>
          <w:rFonts w:ascii="Times New Roman" w:hAnsi="Times New Roman"/>
          <w:color w:themeColor="text1" w:val="000000"/>
          <w:sz w:val="28"/>
        </w:rPr>
        <w:t xml:space="preserve">, байдарки, </w:t>
      </w:r>
      <w:r>
        <w:rPr>
          <w:rFonts w:ascii="Times New Roman" w:hAnsi="Times New Roman"/>
          <w:color w:themeColor="text1" w:val="000000"/>
          <w:sz w:val="28"/>
        </w:rPr>
        <w:t>рафты</w:t>
      </w:r>
      <w:r>
        <w:rPr>
          <w:rFonts w:ascii="Times New Roman" w:hAnsi="Times New Roman"/>
          <w:color w:themeColor="text1" w:val="000000"/>
          <w:sz w:val="28"/>
        </w:rPr>
        <w:t xml:space="preserve">, весла, надувные лодки, </w:t>
      </w:r>
      <w:r>
        <w:rPr>
          <w:rFonts w:ascii="Times New Roman" w:hAnsi="Times New Roman"/>
          <w:color w:themeColor="text1" w:val="000000"/>
          <w:sz w:val="28"/>
        </w:rPr>
        <w:t>сапборды</w:t>
      </w:r>
      <w:r>
        <w:rPr>
          <w:rFonts w:ascii="Times New Roman" w:hAnsi="Times New Roman"/>
          <w:color w:themeColor="text1" w:val="000000"/>
          <w:sz w:val="28"/>
        </w:rPr>
        <w:t xml:space="preserve">, каноэ, </w:t>
      </w:r>
      <w:r>
        <w:rPr>
          <w:rFonts w:ascii="Times New Roman" w:hAnsi="Times New Roman"/>
          <w:color w:themeColor="text1" w:val="000000"/>
          <w:sz w:val="28"/>
        </w:rPr>
        <w:t>аудиогиды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радиогиды</w:t>
      </w:r>
      <w:r>
        <w:rPr>
          <w:rFonts w:ascii="Times New Roman" w:hAnsi="Times New Roman"/>
          <w:color w:themeColor="text1" w:val="000000"/>
          <w:sz w:val="28"/>
        </w:rPr>
        <w:t xml:space="preserve">, радиостанции, микрофоны, спасательное оборудование. 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themeColor="text1" w:val="000000"/>
          <w:sz w:val="28"/>
          <w:u w:val="single"/>
        </w:rPr>
      </w:pPr>
      <w:r>
        <w:rPr>
          <w:rFonts w:ascii="Times New Roman" w:hAnsi="Times New Roman"/>
          <w:b w:val="1"/>
          <w:color w:themeColor="text1" w:val="000000"/>
          <w:sz w:val="28"/>
          <w:u w:val="single"/>
        </w:rPr>
        <w:t>Документы:</w:t>
      </w:r>
    </w:p>
    <w:p w14:paraId="2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1) заявление о предоставлении субсидии</w:t>
      </w:r>
      <w:r>
        <w:rPr>
          <w:sz w:val="28"/>
        </w:rPr>
        <w:t xml:space="preserve"> (форма прилагается)</w:t>
      </w:r>
      <w:r>
        <w:rPr>
          <w:sz w:val="28"/>
        </w:rPr>
        <w:t>;</w:t>
      </w:r>
    </w:p>
    <w:p w14:paraId="2A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2) письмо от участника отбора с указанием следующих сведений:</w:t>
      </w:r>
    </w:p>
    <w:p w14:paraId="2B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 выбор формы федерального статистического наблюдения, по которой планируется представить отчет о достижении значения результата предоставления субсидии и его характеристики;</w:t>
      </w:r>
    </w:p>
    <w:p w14:paraId="2C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 адрес электронной почты;</w:t>
      </w:r>
    </w:p>
    <w:p w14:paraId="2D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3) выписка</w:t>
      </w:r>
      <w:r>
        <w:rPr>
          <w:sz w:val="28"/>
        </w:rPr>
        <w:t xml:space="preserve"> из Единого государственного реестра юридических лиц (выписку из единого государственного реестра индивидуальных предпринимателей) на дату периода приема заявки;</w:t>
      </w:r>
    </w:p>
    <w:p w14:paraId="2E000000">
      <w:pPr>
        <w:pStyle w:val="Style_2"/>
        <w:ind w:firstLine="709" w:left="0"/>
        <w:jc w:val="both"/>
        <w:rPr>
          <w:sz w:val="28"/>
        </w:rPr>
      </w:pPr>
      <w:bookmarkStart w:id="4" w:name="Par100"/>
      <w:bookmarkEnd w:id="4"/>
      <w:r>
        <w:rPr>
          <w:sz w:val="28"/>
        </w:rPr>
        <w:t>4) документ (копия</w:t>
      </w:r>
      <w:r>
        <w:rPr>
          <w:sz w:val="28"/>
        </w:rPr>
        <w:t xml:space="preserve"> документа), подтверждающий полномочия представителя участника отбора (в случае представления документов представителем участника отбора);</w:t>
      </w:r>
    </w:p>
    <w:p w14:paraId="2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справк</w:t>
      </w:r>
      <w:r>
        <w:rPr>
          <w:sz w:val="28"/>
        </w:rPr>
        <w:t>а</w:t>
      </w:r>
      <w:r>
        <w:rPr>
          <w:sz w:val="28"/>
        </w:rPr>
        <w:t xml:space="preserve"> территориального органа Федеральной налоговой службы, </w:t>
      </w:r>
      <w:r>
        <w:rPr>
          <w:sz w:val="28"/>
        </w:rPr>
        <w:t>подписанная</w:t>
      </w:r>
      <w:r>
        <w:rPr>
          <w:sz w:val="28"/>
        </w:rPr>
        <w:t xml:space="preserve"> ее руководителем (иным уполномоченным лицом) по состоянию на дату период</w:t>
      </w:r>
      <w:r>
        <w:rPr>
          <w:sz w:val="28"/>
        </w:rPr>
        <w:t>а приема заявки и подтверждающая</w:t>
      </w:r>
      <w:r>
        <w:rPr>
          <w:sz w:val="28"/>
        </w:rPr>
        <w:t xml:space="preserve">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8"/>
        </w:rPr>
        <w:t xml:space="preserve">ой Федерации о налогах и сборах </w:t>
      </w:r>
      <w:r>
        <w:rPr>
          <w:rFonts w:ascii="Times New Roman" w:hAnsi="Times New Roman"/>
          <w:sz w:val="28"/>
        </w:rPr>
        <w:t xml:space="preserve">(форма </w:t>
      </w:r>
      <w:r>
        <w:rPr>
          <w:rFonts w:ascii="Times New Roman" w:hAnsi="Times New Roman"/>
          <w:color w:val="000000"/>
          <w:sz w:val="28"/>
        </w:rPr>
        <w:t>КНД 1120101)</w:t>
      </w:r>
      <w:r>
        <w:rPr>
          <w:rFonts w:ascii="Times New Roman" w:hAnsi="Times New Roman"/>
          <w:sz w:val="28"/>
        </w:rPr>
        <w:t>;</w:t>
      </w:r>
    </w:p>
    <w:p w14:paraId="30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6) выписка</w:t>
      </w:r>
      <w:r>
        <w:rPr>
          <w:sz w:val="28"/>
        </w:rPr>
        <w:t xml:space="preserve"> из Единого государственного реес</w:t>
      </w:r>
      <w:r>
        <w:rPr>
          <w:sz w:val="28"/>
        </w:rPr>
        <w:t>тра недвижимости, подтверждающая</w:t>
      </w:r>
      <w:r>
        <w:rPr>
          <w:sz w:val="28"/>
        </w:rPr>
        <w:t xml:space="preserve"> право собственности или право аренды участника отбора на объект туристской индустрии и земельный участок, на котором расположен элемент обустройства;</w:t>
      </w:r>
    </w:p>
    <w:p w14:paraId="31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7) копии документов, подтверждающих фактически понесенные участником отбора затраты на обустройство объектов туристской индустрии и приобретение туристского оборудования (в зависимости от вида затрат): </w:t>
      </w:r>
    </w:p>
    <w:p w14:paraId="32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договоры, контракты на изготовление, приобретение, выполнение работ, установку и монтаж оборудования, транспортные услуги по доставке оборудования;</w:t>
      </w:r>
    </w:p>
    <w:p w14:paraId="33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документы, подтверждающие получение оборудования (товарные накладные, универсальные передаточные документы, иные первичные учетные документы), счета или счета-фактуры;</w:t>
      </w:r>
    </w:p>
    <w:p w14:paraId="34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акты выполненных работ, оказанных услуг или иных документов, подтверждающих приемку выполненных работ, оказанных услуг;</w:t>
      </w:r>
    </w:p>
    <w:p w14:paraId="35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платежные документы, подтверждающие оплату работ (услу</w:t>
      </w:r>
      <w:r>
        <w:rPr>
          <w:sz w:val="28"/>
        </w:rPr>
        <w:t>г), и приобретения оборудования;</w:t>
      </w:r>
    </w:p>
    <w:p w14:paraId="36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8) фотографии обустроенных объектов туристской индустрии, элементов обустройства, приобретенного туристского оборудования (на бумажном носителе в цветном варианте с четким изображением без предъявления требований к размеру фотографии или на электронном носителе). Оборудование, используемое для проведения фотосъемки, должно иметь техническую возможность отображения на фотоснимках текущей даты и времени, а также сохранения да</w:t>
      </w:r>
      <w:r>
        <w:rPr>
          <w:sz w:val="28"/>
        </w:rPr>
        <w:t>нных о месте съемки (координат)</w:t>
      </w:r>
      <w:r>
        <w:rPr>
          <w:sz w:val="28"/>
        </w:rPr>
        <w:t>;</w:t>
      </w:r>
    </w:p>
    <w:p w14:paraId="37000000">
      <w:pPr>
        <w:pStyle w:val="Style_2"/>
        <w:ind w:firstLine="709" w:left="0"/>
        <w:jc w:val="both"/>
        <w:rPr>
          <w:sz w:val="28"/>
        </w:rPr>
      </w:pPr>
      <w:bookmarkStart w:id="5" w:name="Par103"/>
      <w:bookmarkEnd w:id="5"/>
      <w:r>
        <w:rPr>
          <w:sz w:val="28"/>
        </w:rPr>
        <w:t xml:space="preserve">9) </w:t>
      </w:r>
      <w:r>
        <w:rPr>
          <w:sz w:val="28"/>
        </w:rPr>
        <w:t>согласие</w:t>
      </w:r>
      <w:r>
        <w:rPr>
          <w:sz w:val="28"/>
        </w:rPr>
        <w:t xml:space="preserve"> на публикацию (размещение) в информационно-телекоммуникационной сети </w:t>
      </w:r>
      <w:r>
        <w:rPr>
          <w:sz w:val="28"/>
        </w:rPr>
        <w:t>«</w:t>
      </w:r>
      <w:r>
        <w:rPr>
          <w:sz w:val="28"/>
        </w:rPr>
        <w:t>Интернет</w:t>
      </w:r>
      <w:r>
        <w:rPr>
          <w:sz w:val="28"/>
        </w:rPr>
        <w:t>»</w:t>
      </w:r>
      <w:r>
        <w:rPr>
          <w:sz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</w:t>
      </w:r>
      <w:r>
        <w:rPr>
          <w:sz w:val="28"/>
        </w:rPr>
        <w:t xml:space="preserve"> (приложение 2 к Порядку);</w:t>
      </w:r>
    </w:p>
    <w:p w14:paraId="38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10) </w:t>
      </w:r>
      <w:r>
        <w:rPr>
          <w:sz w:val="28"/>
        </w:rPr>
        <w:t>согласие</w:t>
      </w:r>
      <w:r>
        <w:rPr>
          <w:sz w:val="28"/>
        </w:rPr>
        <w:t xml:space="preserve"> участника отбора на осуществление Департаментом проверок соблюдения заявителем порядка и условий предоставления субсидии, в том числе достижения результата ее предоставления, а также проверок органами государственного финансового контроля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"https://login.consultant.ru/link/?req=doc&amp;base=LAW&amp;n=434701&amp;date=21.03.2023&amp;dst=3704&amp;field=134"</w:instrText>
      </w:r>
      <w:r>
        <w:rPr>
          <w:sz w:val="28"/>
        </w:rPr>
        <w:fldChar w:fldCharType="separate"/>
      </w:r>
      <w:r>
        <w:rPr>
          <w:sz w:val="28"/>
        </w:rPr>
        <w:t>статьями 268.1</w:t>
      </w:r>
      <w:r>
        <w:rPr>
          <w:sz w:val="28"/>
        </w:rPr>
        <w:fldChar w:fldCharType="end"/>
      </w:r>
      <w:r>
        <w:rPr>
          <w:sz w:val="28"/>
        </w:rPr>
        <w:t xml:space="preserve"> и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"https://login.consultant.ru/link/?req=doc&amp;base=LAW&amp;n=434701&amp;date=21.03.2023&amp;dst=3722&amp;field=134"</w:instrText>
      </w:r>
      <w:r>
        <w:rPr>
          <w:sz w:val="28"/>
        </w:rPr>
        <w:fldChar w:fldCharType="separate"/>
      </w:r>
      <w:r>
        <w:rPr>
          <w:sz w:val="28"/>
        </w:rPr>
        <w:t>269.2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</w:t>
      </w:r>
      <w:r>
        <w:rPr>
          <w:sz w:val="28"/>
        </w:rPr>
        <w:t xml:space="preserve"> (приложение 3 к Порядку)</w:t>
      </w:r>
      <w:r>
        <w:rPr>
          <w:sz w:val="28"/>
        </w:rPr>
        <w:t>;</w:t>
      </w:r>
    </w:p>
    <w:p w14:paraId="39000000">
      <w:pPr>
        <w:pStyle w:val="Style_2"/>
        <w:ind w:firstLine="709" w:left="0"/>
        <w:jc w:val="both"/>
        <w:rPr>
          <w:sz w:val="28"/>
        </w:rPr>
      </w:pPr>
      <w:bookmarkStart w:id="6" w:name="Par111"/>
      <w:bookmarkEnd w:id="6"/>
      <w:r>
        <w:rPr>
          <w:sz w:val="28"/>
        </w:rPr>
        <w:t>11) копии договоров на оказание услуг или реализацию туристского продукта с использованием туристского оборудования, приобретение которого предъявлено к субсидированию.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Организатор отбора:</w:t>
      </w:r>
      <w:r>
        <w:rPr>
          <w:rFonts w:ascii="Times New Roman" w:hAnsi="Times New Roman"/>
          <w:sz w:val="28"/>
        </w:rPr>
        <w:t xml:space="preserve"> Департамент экономического развития Вологодской области.</w:t>
      </w:r>
    </w:p>
    <w:p w14:paraId="3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Контактные данные: </w:t>
      </w:r>
      <w:r>
        <w:rPr>
          <w:rFonts w:ascii="Times New Roman" w:hAnsi="Times New Roman"/>
          <w:sz w:val="28"/>
        </w:rPr>
        <w:t>Волынцева</w:t>
      </w:r>
      <w:r>
        <w:rPr>
          <w:rFonts w:ascii="Times New Roman" w:hAnsi="Times New Roman"/>
          <w:sz w:val="28"/>
        </w:rPr>
        <w:t xml:space="preserve"> Наталья Анатольевна, ведущий консультант управления туризма Департамента экономического развития области, т. 8(8172) 23-01-96 (</w:t>
      </w:r>
      <w:r>
        <w:rPr>
          <w:rFonts w:ascii="Times New Roman" w:hAnsi="Times New Roman"/>
          <w:sz w:val="28"/>
        </w:rPr>
        <w:t>доб</w:t>
      </w:r>
      <w:r>
        <w:rPr>
          <w:rFonts w:ascii="Times New Roman" w:hAnsi="Times New Roman"/>
          <w:sz w:val="28"/>
        </w:rPr>
        <w:t>. 0771).</w:t>
      </w:r>
    </w:p>
    <w:p w14:paraId="3C000000">
      <w:pPr>
        <w:spacing w:after="0" w:line="240" w:lineRule="auto"/>
        <w:ind w:firstLine="709" w:left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Электронный адрес: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"mailto:volyntsevana@der.gov35.ru"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volyntsevana@der.gov35.ru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</w:p>
    <w:sectPr>
      <w:pgSz w:h="15840" w:orient="portrait" w:w="12240"/>
      <w:pgMar w:bottom="851" w:footer="708" w:gutter="0" w:header="708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Заголовок 1 Знак"/>
    <w:link w:val="Style_6_ch"/>
    <w:rPr>
      <w:rFonts w:ascii="XO Thames" w:hAnsi="XO Thames"/>
      <w:b w:val="1"/>
      <w:sz w:val="32"/>
    </w:rPr>
  </w:style>
  <w:style w:styleId="Style_6_ch" w:type="character">
    <w:name w:val="Заголовок 1 Знак"/>
    <w:link w:val="Style_6"/>
    <w:rPr>
      <w:rFonts w:ascii="XO Thames" w:hAnsi="XO Thames"/>
      <w:b w:val="1"/>
      <w:sz w:val="32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_rpc_41"/>
    <w:basedOn w:val="Style_11"/>
    <w:link w:val="Style_15_ch"/>
  </w:style>
  <w:style w:styleId="Style_15_ch" w:type="character">
    <w:name w:val="_rpc_41"/>
    <w:basedOn w:val="Style_11_ch"/>
    <w:link w:val="Style_15"/>
  </w:style>
  <w:style w:styleId="Style_16" w:type="paragraph">
    <w:name w:val="_rpc_o1"/>
    <w:basedOn w:val="Style_11"/>
    <w:link w:val="Style_16_ch"/>
  </w:style>
  <w:style w:styleId="Style_16_ch" w:type="character">
    <w:name w:val="_rpc_o1"/>
    <w:basedOn w:val="Style_11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sz w:val="24"/>
    </w:rPr>
  </w:style>
  <w:style w:styleId="Style_2_ch" w:type="character">
    <w:name w:val="ConsPlusNormal"/>
    <w:link w:val="Style_2"/>
    <w:rPr>
      <w:rFonts w:ascii="Times New Roman" w:hAnsi="Times New Roman"/>
      <w:sz w:val="24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List Paragraph"/>
    <w:basedOn w:val="Style_3"/>
    <w:link w:val="Style_23_ch"/>
    <w:pPr>
      <w:ind w:firstLine="0" w:left="720"/>
      <w:contextualSpacing w:val="1"/>
    </w:pPr>
  </w:style>
  <w:style w:styleId="Style_23_ch" w:type="character">
    <w:name w:val="List Paragraph"/>
    <w:basedOn w:val="Style_3_ch"/>
    <w:link w:val="Style_23"/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Гиперссылка1"/>
    <w:link w:val="Style_25_ch"/>
    <w:rPr>
      <w:rFonts w:ascii="Calibri" w:hAnsi="Calibri"/>
      <w:color w:val="0000FF"/>
      <w:sz w:val="20"/>
      <w:u w:val="single"/>
    </w:rPr>
  </w:style>
  <w:style w:styleId="Style_25_ch" w:type="character">
    <w:name w:val="Гиперссылка1"/>
    <w:link w:val="Style_25"/>
    <w:rPr>
      <w:rFonts w:ascii="Calibri" w:hAnsi="Calibri"/>
      <w:color w:val="0000FF"/>
      <w:sz w:val="20"/>
      <w:u w:val="single"/>
    </w:rPr>
  </w:style>
  <w:style w:styleId="Style_26" w:type="paragraph">
    <w:name w:val="toc 9"/>
    <w:next w:val="Style_3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1" w:type="paragraph">
    <w:name w:val="Гиперссылка2"/>
    <w:basedOn w:val="Style_13"/>
    <w:link w:val="Style_1_ch"/>
    <w:rPr>
      <w:color w:themeColor="hyperlink" w:val="0000FF"/>
      <w:u w:val="single"/>
    </w:rPr>
  </w:style>
  <w:style w:styleId="Style_1_ch" w:type="character">
    <w:name w:val="Гиперссылка2"/>
    <w:basedOn w:val="Style_13_ch"/>
    <w:link w:val="Style_1"/>
    <w:rPr>
      <w:color w:themeColor="hyperlink" w:val="0000FF"/>
      <w:u w:val="single"/>
    </w:rPr>
  </w:style>
  <w:style w:styleId="Style_29" w:type="paragraph">
    <w:name w:val="toc 5"/>
    <w:next w:val="Style_3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2023-05-30T07:53:55Z</dcterms:modified>
</cp:coreProperties>
</file>